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170B"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Stand der Diskussion zu Wasserstoff</w:t>
      </w:r>
    </w:p>
    <w:p w14:paraId="0677C3C3" w14:textId="055C59F2" w:rsidR="00EB6721" w:rsidRPr="00EB6721" w:rsidRDefault="00EB6721" w:rsidP="00EB6721">
      <w:pPr>
        <w:rPr>
          <w:rFonts w:ascii="Arial" w:hAnsi="Arial" w:cs="Arial"/>
          <w:b/>
          <w:bCs/>
          <w:sz w:val="24"/>
          <w:szCs w:val="24"/>
        </w:rPr>
      </w:pPr>
      <w:r w:rsidRPr="00EB6721">
        <w:rPr>
          <w:rFonts w:ascii="Arial" w:hAnsi="Arial" w:cs="Arial"/>
          <w:b/>
          <w:bCs/>
          <w:sz w:val="24"/>
          <w:szCs w:val="24"/>
        </w:rPr>
        <w:t>Kommunal</w:t>
      </w:r>
      <w:r w:rsidRPr="00EB6721">
        <w:rPr>
          <w:rFonts w:ascii="Arial" w:hAnsi="Arial" w:cs="Arial"/>
          <w:b/>
          <w:bCs/>
          <w:sz w:val="24"/>
          <w:szCs w:val="24"/>
        </w:rPr>
        <w:noBreakHyphen/>
        <w:t xml:space="preserve"> und regionalpolitische Einordnung </w:t>
      </w:r>
      <w:r>
        <w:rPr>
          <w:rFonts w:ascii="Arial" w:hAnsi="Arial" w:cs="Arial"/>
          <w:b/>
          <w:bCs/>
          <w:sz w:val="24"/>
          <w:szCs w:val="24"/>
        </w:rPr>
        <w:t>für Oberberg</w:t>
      </w:r>
      <w:r w:rsidR="008B72CA">
        <w:rPr>
          <w:rFonts w:ascii="Arial" w:hAnsi="Arial" w:cs="Arial"/>
          <w:b/>
          <w:bCs/>
          <w:sz w:val="24"/>
          <w:szCs w:val="24"/>
        </w:rPr>
        <w:t xml:space="preserve">                 04/2026</w:t>
      </w:r>
    </w:p>
    <w:p w14:paraId="3B9DBD3F"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412F4304">
          <v:rect id="_x0000_i1067" style="width:0;height:1.5pt" o:hralign="center" o:hrstd="t" o:hr="t" fillcolor="#a0a0a0" stroked="f"/>
        </w:pict>
      </w:r>
    </w:p>
    <w:p w14:paraId="2D71F693"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1. Bedeutung von Wasserstoff für Kommunen und Regionen</w:t>
      </w:r>
    </w:p>
    <w:p w14:paraId="080D3355"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Wasserstoff, insbesondere </w:t>
      </w:r>
      <w:r w:rsidRPr="00EB6721">
        <w:rPr>
          <w:rFonts w:ascii="Arial" w:hAnsi="Arial" w:cs="Arial"/>
          <w:b/>
          <w:bCs/>
          <w:sz w:val="24"/>
          <w:szCs w:val="24"/>
        </w:rPr>
        <w:t>grüner Wasserstoff aus erneuerbaren Energien</w:t>
      </w:r>
      <w:r w:rsidRPr="00EB6721">
        <w:rPr>
          <w:rFonts w:ascii="Arial" w:hAnsi="Arial" w:cs="Arial"/>
          <w:sz w:val="24"/>
          <w:szCs w:val="24"/>
        </w:rPr>
        <w:t xml:space="preserve">, wird in Politik und Fachöffentlichkeit als zentraler Baustein für Klimaschutz, industrielle Dekarbonisierung und Sektorkopplung diskutiert. Für Kommunen und Regionen wie den </w:t>
      </w:r>
      <w:r w:rsidRPr="00EB6721">
        <w:rPr>
          <w:rFonts w:ascii="Arial" w:hAnsi="Arial" w:cs="Arial"/>
          <w:b/>
          <w:bCs/>
          <w:sz w:val="24"/>
          <w:szCs w:val="24"/>
        </w:rPr>
        <w:t>Oberbergischen Kreis</w:t>
      </w:r>
      <w:r w:rsidRPr="00EB6721">
        <w:rPr>
          <w:rFonts w:ascii="Arial" w:hAnsi="Arial" w:cs="Arial"/>
          <w:sz w:val="24"/>
          <w:szCs w:val="24"/>
        </w:rPr>
        <w:t xml:space="preserve"> ergibt sich daraus vor allem eine strategische Fragestellung: In welchen Bereichen ist Wasserstoff sinnvoll, wirtschaftlich vertretbar und infrastrukturell umsetzbar – und wo sind Alternativen wie direkte Elektrifizierung vorzuziehen?</w:t>
      </w:r>
    </w:p>
    <w:p w14:paraId="7D76F3C1" w14:textId="39AD81D0" w:rsidR="00EB6721" w:rsidRPr="00EB6721" w:rsidRDefault="00EB6721" w:rsidP="00EB6721">
      <w:pPr>
        <w:rPr>
          <w:rFonts w:ascii="Arial" w:hAnsi="Arial" w:cs="Arial"/>
          <w:sz w:val="24"/>
          <w:szCs w:val="24"/>
        </w:rPr>
      </w:pPr>
      <w:r w:rsidRPr="00EB6721">
        <w:rPr>
          <w:rFonts w:ascii="Arial" w:hAnsi="Arial" w:cs="Arial"/>
          <w:sz w:val="24"/>
          <w:szCs w:val="24"/>
        </w:rPr>
        <w:t xml:space="preserve">Aus kommunaler Perspektive steht weniger der bundesweite Markthochlauf im Vordergrund, sondern die Rolle von Wasserstoff als </w:t>
      </w:r>
      <w:r w:rsidRPr="00EB6721">
        <w:rPr>
          <w:rFonts w:ascii="Arial" w:hAnsi="Arial" w:cs="Arial"/>
          <w:b/>
          <w:bCs/>
          <w:sz w:val="24"/>
          <w:szCs w:val="24"/>
        </w:rPr>
        <w:t>Ergänzung zu bestehenden Energie</w:t>
      </w:r>
      <w:r w:rsidRPr="00EB6721">
        <w:rPr>
          <w:rFonts w:ascii="Arial" w:hAnsi="Arial" w:cs="Arial"/>
          <w:b/>
          <w:bCs/>
          <w:sz w:val="24"/>
          <w:szCs w:val="24"/>
        </w:rPr>
        <w:noBreakHyphen/>
        <w:t xml:space="preserve"> und Infrastrukturstrategien</w:t>
      </w:r>
      <w:r w:rsidRPr="00EB6721">
        <w:rPr>
          <w:rFonts w:ascii="Arial" w:hAnsi="Arial" w:cs="Arial"/>
          <w:sz w:val="24"/>
          <w:szCs w:val="24"/>
        </w:rPr>
        <w:t>, etwa bei Industrieansiedlungen, Gewerbegebieten, schweren Nutzfahrzeugen oder der langfristigen Sicherung von Energieversorgung und regionaler Wertschöpfung. Gleichzeitig ist Wasserstoff stark abhängig von übergeordneten politischen Rahmenbedingungen auf EU</w:t>
      </w:r>
      <w:r w:rsidRPr="00EB6721">
        <w:rPr>
          <w:rFonts w:ascii="Arial" w:hAnsi="Arial" w:cs="Arial"/>
          <w:sz w:val="24"/>
          <w:szCs w:val="24"/>
        </w:rPr>
        <w:noBreakHyphen/>
        <w:t>, Bundes</w:t>
      </w:r>
      <w:r w:rsidRPr="00EB6721">
        <w:rPr>
          <w:rFonts w:ascii="Arial" w:hAnsi="Arial" w:cs="Arial"/>
          <w:sz w:val="24"/>
          <w:szCs w:val="24"/>
        </w:rPr>
        <w:noBreakHyphen/>
        <w:t xml:space="preserve"> und Landesebene.</w:t>
      </w:r>
      <w:r w:rsidR="008B72CA">
        <w:rPr>
          <w:rFonts w:ascii="Arial" w:hAnsi="Arial" w:cs="Arial"/>
          <w:sz w:val="24"/>
          <w:szCs w:val="24"/>
        </w:rPr>
        <w:t xml:space="preserve"> Ambitionierte Ausbaupläne halten dabei einer nüchternen Betrachtung nicht stand. </w:t>
      </w:r>
    </w:p>
    <w:p w14:paraId="577235F0"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4D2AC8DE">
          <v:rect id="_x0000_i1068" style="width:0;height:1.5pt" o:hralign="center" o:hrstd="t" o:hr="t" fillcolor="#a0a0a0" stroked="f"/>
        </w:pict>
      </w:r>
    </w:p>
    <w:p w14:paraId="538C17B8"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2. Technologischer Stand: Elektrolyse als Schlüsseltechnologie</w:t>
      </w:r>
    </w:p>
    <w:p w14:paraId="4076DE63"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2.1 Kostenentwicklung der Elektrolyse</w:t>
      </w:r>
    </w:p>
    <w:p w14:paraId="2B3E4F10"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Eine zentrale Grundlage der aktuellen Debatte bildet die </w:t>
      </w:r>
      <w:r w:rsidRPr="00EB6721">
        <w:rPr>
          <w:rFonts w:ascii="Arial" w:hAnsi="Arial" w:cs="Arial"/>
          <w:b/>
          <w:bCs/>
          <w:sz w:val="24"/>
          <w:szCs w:val="24"/>
        </w:rPr>
        <w:t>Kostenanalyse des Fraunhofer</w:t>
      </w:r>
      <w:r w:rsidRPr="00EB6721">
        <w:rPr>
          <w:rFonts w:ascii="Arial" w:hAnsi="Arial" w:cs="Arial"/>
          <w:b/>
          <w:bCs/>
          <w:sz w:val="24"/>
          <w:szCs w:val="24"/>
        </w:rPr>
        <w:noBreakHyphen/>
        <w:t>Instituts für Solare Energiesysteme (ISE) aus dem Jahr 2021</w:t>
      </w:r>
      <w:r w:rsidRPr="00EB6721">
        <w:rPr>
          <w:rFonts w:ascii="Arial" w:hAnsi="Arial" w:cs="Arial"/>
          <w:sz w:val="24"/>
          <w:szCs w:val="24"/>
        </w:rPr>
        <w:t>. Die Studie zeigt, dass die Kosten von Wasserelektrolyse</w:t>
      </w:r>
      <w:r w:rsidRPr="00EB6721">
        <w:rPr>
          <w:rFonts w:ascii="Arial" w:hAnsi="Arial" w:cs="Arial"/>
          <w:sz w:val="24"/>
          <w:szCs w:val="24"/>
        </w:rPr>
        <w:noBreakHyphen/>
        <w:t xml:space="preserve">Systemen bis 2030 deutlich sinken können, insbesondere durch technischen Fortschritt, Skaleneffekte und Serienfertigung. Für das Jahr 2030 werden </w:t>
      </w:r>
      <w:r w:rsidRPr="00EB6721">
        <w:rPr>
          <w:rFonts w:ascii="Arial" w:hAnsi="Arial" w:cs="Arial"/>
          <w:b/>
          <w:bCs/>
          <w:sz w:val="24"/>
          <w:szCs w:val="24"/>
        </w:rPr>
        <w:t>Systemkosten von etwa 400–500 €/kW</w:t>
      </w:r>
      <w:r w:rsidRPr="00EB6721">
        <w:rPr>
          <w:rFonts w:ascii="Arial" w:hAnsi="Arial" w:cs="Arial"/>
          <w:sz w:val="24"/>
          <w:szCs w:val="24"/>
        </w:rPr>
        <w:t xml:space="preserve"> erwartet. Kleine, dezentrale Anlagen bleiben dabei deutlich teurer als große, zentral betriebene Systeme.¹</w:t>
      </w:r>
    </w:p>
    <w:p w14:paraId="106BDD26"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Für kommunale Akteure ist dieses Ergebnis besonders relevant: Wirtschaftlichkeit wird vor allem bei </w:t>
      </w:r>
      <w:r w:rsidRPr="00EB6721">
        <w:rPr>
          <w:rFonts w:ascii="Arial" w:hAnsi="Arial" w:cs="Arial"/>
          <w:b/>
          <w:bCs/>
          <w:sz w:val="24"/>
          <w:szCs w:val="24"/>
        </w:rPr>
        <w:t>größeren Anlagen und in Verbund</w:t>
      </w:r>
      <w:r w:rsidRPr="00EB6721">
        <w:rPr>
          <w:rFonts w:ascii="Arial" w:hAnsi="Arial" w:cs="Arial"/>
          <w:b/>
          <w:bCs/>
          <w:sz w:val="24"/>
          <w:szCs w:val="24"/>
        </w:rPr>
        <w:noBreakHyphen/>
        <w:t xml:space="preserve"> oder Clusterstrukturen</w:t>
      </w:r>
      <w:r w:rsidRPr="00EB6721">
        <w:rPr>
          <w:rFonts w:ascii="Arial" w:hAnsi="Arial" w:cs="Arial"/>
          <w:sz w:val="24"/>
          <w:szCs w:val="24"/>
        </w:rPr>
        <w:t xml:space="preserve"> erreicht, etwa in Industrieparks oder gemeinsam mit Stadtwerken und regionalen Energieversorgern.</w:t>
      </w:r>
    </w:p>
    <w:p w14:paraId="150FC776"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2.2 Kostentreiber und Technologievergleich</w:t>
      </w:r>
    </w:p>
    <w:p w14:paraId="1963A661"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Der </w:t>
      </w:r>
      <w:proofErr w:type="spellStart"/>
      <w:r w:rsidRPr="00EB6721">
        <w:rPr>
          <w:rFonts w:ascii="Arial" w:hAnsi="Arial" w:cs="Arial"/>
          <w:b/>
          <w:bCs/>
          <w:sz w:val="24"/>
          <w:szCs w:val="24"/>
        </w:rPr>
        <w:t>Elektrolysestack</w:t>
      </w:r>
      <w:proofErr w:type="spellEnd"/>
      <w:r w:rsidRPr="00EB6721">
        <w:rPr>
          <w:rFonts w:ascii="Arial" w:hAnsi="Arial" w:cs="Arial"/>
          <w:sz w:val="24"/>
          <w:szCs w:val="24"/>
        </w:rPr>
        <w:t xml:space="preserve"> ist laut Fraunhofer ISE in allen Betrachtungen die teuerste Einzelkomponente eines Elektrolysesystems. Entsprechend liegen hier die größten Potenziale für Kostensenkungen durch gezielte </w:t>
      </w:r>
      <w:proofErr w:type="spellStart"/>
      <w:r w:rsidRPr="00EB6721">
        <w:rPr>
          <w:rFonts w:ascii="Arial" w:hAnsi="Arial" w:cs="Arial"/>
          <w:sz w:val="24"/>
          <w:szCs w:val="24"/>
        </w:rPr>
        <w:t>Forschungs</w:t>
      </w:r>
      <w:proofErr w:type="spellEnd"/>
      <w:r w:rsidRPr="00EB6721">
        <w:rPr>
          <w:rFonts w:ascii="Arial" w:hAnsi="Arial" w:cs="Arial"/>
          <w:sz w:val="24"/>
          <w:szCs w:val="24"/>
        </w:rPr>
        <w:noBreakHyphen/>
        <w:t xml:space="preserve">, </w:t>
      </w:r>
      <w:proofErr w:type="spellStart"/>
      <w:r w:rsidRPr="00EB6721">
        <w:rPr>
          <w:rFonts w:ascii="Arial" w:hAnsi="Arial" w:cs="Arial"/>
          <w:sz w:val="24"/>
          <w:szCs w:val="24"/>
        </w:rPr>
        <w:t>Innovations</w:t>
      </w:r>
      <w:proofErr w:type="spellEnd"/>
      <w:r w:rsidRPr="00EB6721">
        <w:rPr>
          <w:rFonts w:ascii="Arial" w:hAnsi="Arial" w:cs="Arial"/>
          <w:sz w:val="24"/>
          <w:szCs w:val="24"/>
        </w:rPr>
        <w:noBreakHyphen/>
        <w:t xml:space="preserve"> und </w:t>
      </w:r>
      <w:r w:rsidRPr="00EB6721">
        <w:rPr>
          <w:rFonts w:ascii="Arial" w:hAnsi="Arial" w:cs="Arial"/>
          <w:sz w:val="24"/>
          <w:szCs w:val="24"/>
        </w:rPr>
        <w:lastRenderedPageBreak/>
        <w:t xml:space="preserve">Industrialisierungsförderung. Die spezifischen </w:t>
      </w:r>
      <w:proofErr w:type="spellStart"/>
      <w:r w:rsidRPr="00EB6721">
        <w:rPr>
          <w:rFonts w:ascii="Arial" w:hAnsi="Arial" w:cs="Arial"/>
          <w:sz w:val="24"/>
          <w:szCs w:val="24"/>
        </w:rPr>
        <w:t>Stackkosten</w:t>
      </w:r>
      <w:proofErr w:type="spellEnd"/>
      <w:r w:rsidRPr="00EB6721">
        <w:rPr>
          <w:rFonts w:ascii="Arial" w:hAnsi="Arial" w:cs="Arial"/>
          <w:sz w:val="24"/>
          <w:szCs w:val="24"/>
        </w:rPr>
        <w:t xml:space="preserve"> könnten sich bis 2030 nahezu halbieren, sowohl bei der alkalischen Elektrolyse als auch bei der PEM</w:t>
      </w:r>
      <w:r w:rsidRPr="00EB6721">
        <w:rPr>
          <w:rFonts w:ascii="Arial" w:hAnsi="Arial" w:cs="Arial"/>
          <w:sz w:val="24"/>
          <w:szCs w:val="24"/>
        </w:rPr>
        <w:noBreakHyphen/>
        <w:t>Elektrolyse.²</w:t>
      </w:r>
    </w:p>
    <w:p w14:paraId="1EF286AC"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Im direkten Vergleich bleibt die </w:t>
      </w:r>
      <w:r w:rsidRPr="00EB6721">
        <w:rPr>
          <w:rFonts w:ascii="Arial" w:hAnsi="Arial" w:cs="Arial"/>
          <w:b/>
          <w:bCs/>
          <w:sz w:val="24"/>
          <w:szCs w:val="24"/>
        </w:rPr>
        <w:t>alkalische Elektrolyse kostengünstiger</w:t>
      </w:r>
      <w:r w:rsidRPr="00EB6721">
        <w:rPr>
          <w:rFonts w:ascii="Arial" w:hAnsi="Arial" w:cs="Arial"/>
          <w:sz w:val="24"/>
          <w:szCs w:val="24"/>
        </w:rPr>
        <w:t xml:space="preserve"> als PEM</w:t>
      </w:r>
      <w:r w:rsidRPr="00EB6721">
        <w:rPr>
          <w:rFonts w:ascii="Arial" w:hAnsi="Arial" w:cs="Arial"/>
          <w:sz w:val="24"/>
          <w:szCs w:val="24"/>
        </w:rPr>
        <w:noBreakHyphen/>
        <w:t xml:space="preserve">Systeme. Werden jedoch Systemrandkosten wie Verdichtung, Peripherie und Leistungselektronik berücksichtigt, nähern sich die Gesamtkosten an. Daraus folgt eine klare politische Empfehlung: </w:t>
      </w:r>
      <w:r w:rsidRPr="00EB6721">
        <w:rPr>
          <w:rFonts w:ascii="Arial" w:hAnsi="Arial" w:cs="Arial"/>
          <w:b/>
          <w:bCs/>
          <w:sz w:val="24"/>
          <w:szCs w:val="24"/>
        </w:rPr>
        <w:t>Technologieneutrale Förderansätze</w:t>
      </w:r>
      <w:r w:rsidRPr="00EB6721">
        <w:rPr>
          <w:rFonts w:ascii="Arial" w:hAnsi="Arial" w:cs="Arial"/>
          <w:sz w:val="24"/>
          <w:szCs w:val="24"/>
        </w:rPr>
        <w:t xml:space="preserve"> sind sachgerecht und reduzieren Fehlsteuerungen.³</w:t>
      </w:r>
    </w:p>
    <w:p w14:paraId="59252722"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7D68D35F">
          <v:rect id="_x0000_i1069" style="width:0;height:1.5pt" o:hralign="center" o:hrstd="t" o:hr="t" fillcolor="#a0a0a0" stroked="f"/>
        </w:pict>
      </w:r>
    </w:p>
    <w:p w14:paraId="015B3B77"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3. Praxisnahe Kostenbetrachtung: Relevanz für Kommunen</w:t>
      </w:r>
    </w:p>
    <w:p w14:paraId="2404FE3A"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3.1 Studien vs. Projektrealität</w:t>
      </w:r>
    </w:p>
    <w:p w14:paraId="6E99C12C"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Ein Diskussionspapier des </w:t>
      </w:r>
      <w:r w:rsidRPr="00EB6721">
        <w:rPr>
          <w:rFonts w:ascii="Arial" w:hAnsi="Arial" w:cs="Arial"/>
          <w:b/>
          <w:bCs/>
          <w:sz w:val="24"/>
          <w:szCs w:val="24"/>
        </w:rPr>
        <w:t>Bundesverbands Erneuerbare Energie (BWE) / Mission Wasserstoff 2030</w:t>
      </w:r>
      <w:r w:rsidRPr="00EB6721">
        <w:rPr>
          <w:rFonts w:ascii="Arial" w:hAnsi="Arial" w:cs="Arial"/>
          <w:sz w:val="24"/>
          <w:szCs w:val="24"/>
        </w:rPr>
        <w:t xml:space="preserve"> vom </w:t>
      </w:r>
      <w:r w:rsidRPr="00EB6721">
        <w:rPr>
          <w:rFonts w:ascii="Arial" w:hAnsi="Arial" w:cs="Arial"/>
          <w:b/>
          <w:bCs/>
          <w:sz w:val="24"/>
          <w:szCs w:val="24"/>
        </w:rPr>
        <w:t>20.08.2025 (aktualisiert am 08.09.2025)</w:t>
      </w:r>
      <w:r w:rsidRPr="00EB6721">
        <w:rPr>
          <w:rFonts w:ascii="Arial" w:hAnsi="Arial" w:cs="Arial"/>
          <w:sz w:val="24"/>
          <w:szCs w:val="24"/>
        </w:rPr>
        <w:t xml:space="preserve"> zeigt erhebliche Abweichungen zwischen theoretischen Kostenannahmen und der Praxis laufender Projekte. In vielen Studien genannte Zielkosten von etwa </w:t>
      </w:r>
      <w:r w:rsidRPr="00EB6721">
        <w:rPr>
          <w:rFonts w:ascii="Arial" w:hAnsi="Arial" w:cs="Arial"/>
          <w:b/>
          <w:bCs/>
          <w:sz w:val="24"/>
          <w:szCs w:val="24"/>
        </w:rPr>
        <w:t>4,50 €/kg Wasserstoff bis 2030</w:t>
      </w:r>
      <w:r w:rsidRPr="00EB6721">
        <w:rPr>
          <w:rFonts w:ascii="Arial" w:hAnsi="Arial" w:cs="Arial"/>
          <w:sz w:val="24"/>
          <w:szCs w:val="24"/>
        </w:rPr>
        <w:t xml:space="preserve"> werden nach Einschätzung von Projektträgern unter realen Bedingungen häufig nicht erreicht.⁴</w:t>
      </w:r>
    </w:p>
    <w:p w14:paraId="1B94B2FB"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Der Hauptgrund liegt in bislang unterschätzten </w:t>
      </w:r>
      <w:r w:rsidRPr="00EB6721">
        <w:rPr>
          <w:rFonts w:ascii="Arial" w:hAnsi="Arial" w:cs="Arial"/>
          <w:b/>
          <w:bCs/>
          <w:sz w:val="24"/>
          <w:szCs w:val="24"/>
        </w:rPr>
        <w:t>indirekten Kosten</w:t>
      </w:r>
      <w:r w:rsidRPr="00EB6721">
        <w:rPr>
          <w:rFonts w:ascii="Arial" w:hAnsi="Arial" w:cs="Arial"/>
          <w:sz w:val="24"/>
          <w:szCs w:val="24"/>
        </w:rPr>
        <w:t>, darunter:</w:t>
      </w:r>
    </w:p>
    <w:p w14:paraId="32A2F7F7" w14:textId="77777777" w:rsidR="00EB6721" w:rsidRPr="00EB6721" w:rsidRDefault="00EB6721" w:rsidP="00EB6721">
      <w:pPr>
        <w:numPr>
          <w:ilvl w:val="0"/>
          <w:numId w:val="1"/>
        </w:numPr>
        <w:rPr>
          <w:rFonts w:ascii="Arial" w:hAnsi="Arial" w:cs="Arial"/>
          <w:sz w:val="24"/>
          <w:szCs w:val="24"/>
        </w:rPr>
      </w:pPr>
      <w:r w:rsidRPr="00EB6721">
        <w:rPr>
          <w:rFonts w:ascii="Arial" w:hAnsi="Arial" w:cs="Arial"/>
          <w:sz w:val="24"/>
          <w:szCs w:val="24"/>
        </w:rPr>
        <w:t>Bau</w:t>
      </w:r>
      <w:r w:rsidRPr="00EB6721">
        <w:rPr>
          <w:rFonts w:ascii="Arial" w:hAnsi="Arial" w:cs="Arial"/>
          <w:sz w:val="24"/>
          <w:szCs w:val="24"/>
        </w:rPr>
        <w:noBreakHyphen/>
        <w:t xml:space="preserve"> und Erschließungskosten</w:t>
      </w:r>
    </w:p>
    <w:p w14:paraId="310F7BB9" w14:textId="77777777" w:rsidR="00EB6721" w:rsidRPr="00EB6721" w:rsidRDefault="00EB6721" w:rsidP="00EB6721">
      <w:pPr>
        <w:numPr>
          <w:ilvl w:val="0"/>
          <w:numId w:val="1"/>
        </w:numPr>
        <w:rPr>
          <w:rFonts w:ascii="Arial" w:hAnsi="Arial" w:cs="Arial"/>
          <w:sz w:val="24"/>
          <w:szCs w:val="24"/>
        </w:rPr>
      </w:pPr>
      <w:r w:rsidRPr="00EB6721">
        <w:rPr>
          <w:rFonts w:ascii="Arial" w:hAnsi="Arial" w:cs="Arial"/>
          <w:sz w:val="24"/>
          <w:szCs w:val="24"/>
        </w:rPr>
        <w:t>technische Nebenanlagen</w:t>
      </w:r>
    </w:p>
    <w:p w14:paraId="3A0A3C81" w14:textId="77777777" w:rsidR="00EB6721" w:rsidRPr="00EB6721" w:rsidRDefault="00EB6721" w:rsidP="00EB6721">
      <w:pPr>
        <w:numPr>
          <w:ilvl w:val="0"/>
          <w:numId w:val="1"/>
        </w:numPr>
        <w:rPr>
          <w:rFonts w:ascii="Arial" w:hAnsi="Arial" w:cs="Arial"/>
          <w:sz w:val="24"/>
          <w:szCs w:val="24"/>
        </w:rPr>
      </w:pPr>
      <w:r w:rsidRPr="00EB6721">
        <w:rPr>
          <w:rFonts w:ascii="Arial" w:hAnsi="Arial" w:cs="Arial"/>
          <w:sz w:val="24"/>
          <w:szCs w:val="24"/>
        </w:rPr>
        <w:t>Projektmanagement und Versicherungen</w:t>
      </w:r>
    </w:p>
    <w:p w14:paraId="35BFE19A" w14:textId="77777777" w:rsidR="00EB6721" w:rsidRPr="00EB6721" w:rsidRDefault="00EB6721" w:rsidP="00EB6721">
      <w:pPr>
        <w:numPr>
          <w:ilvl w:val="0"/>
          <w:numId w:val="1"/>
        </w:numPr>
        <w:rPr>
          <w:rFonts w:ascii="Arial" w:hAnsi="Arial" w:cs="Arial"/>
          <w:sz w:val="24"/>
          <w:szCs w:val="24"/>
        </w:rPr>
      </w:pPr>
      <w:r w:rsidRPr="00EB6721">
        <w:rPr>
          <w:rFonts w:ascii="Arial" w:hAnsi="Arial" w:cs="Arial"/>
          <w:sz w:val="24"/>
          <w:szCs w:val="24"/>
        </w:rPr>
        <w:t>Flächenbereitstellung</w:t>
      </w:r>
    </w:p>
    <w:p w14:paraId="1D3EA864"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Diese Kosten spielen gerade bei </w:t>
      </w:r>
      <w:r w:rsidRPr="00EB6721">
        <w:rPr>
          <w:rFonts w:ascii="Arial" w:hAnsi="Arial" w:cs="Arial"/>
          <w:b/>
          <w:bCs/>
          <w:sz w:val="24"/>
          <w:szCs w:val="24"/>
        </w:rPr>
        <w:t>kommunalen Projekten</w:t>
      </w:r>
      <w:r w:rsidRPr="00EB6721">
        <w:rPr>
          <w:rFonts w:ascii="Arial" w:hAnsi="Arial" w:cs="Arial"/>
          <w:sz w:val="24"/>
          <w:szCs w:val="24"/>
        </w:rPr>
        <w:t xml:space="preserve"> eine große Rolle und können einen erheblichen Anteil der Gesamtinvestition ausmachen.⁵</w:t>
      </w:r>
    </w:p>
    <w:p w14:paraId="07CEB6D5"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3.2 Stromkosten und regulatorische Vorgaben</w:t>
      </w:r>
    </w:p>
    <w:p w14:paraId="2048CD31" w14:textId="07D82B2C" w:rsidR="00EB6721" w:rsidRPr="00EB6721" w:rsidRDefault="00EB6721" w:rsidP="00EB6721">
      <w:pPr>
        <w:rPr>
          <w:rFonts w:ascii="Arial" w:hAnsi="Arial" w:cs="Arial"/>
          <w:sz w:val="24"/>
          <w:szCs w:val="24"/>
        </w:rPr>
      </w:pPr>
      <w:r w:rsidRPr="00EB6721">
        <w:rPr>
          <w:rFonts w:ascii="Arial" w:hAnsi="Arial" w:cs="Arial"/>
          <w:sz w:val="24"/>
          <w:szCs w:val="24"/>
        </w:rPr>
        <w:t xml:space="preserve">Unabhängig von der Anlagentechnik bleiben die </w:t>
      </w:r>
      <w:r w:rsidRPr="00EB6721">
        <w:rPr>
          <w:rFonts w:ascii="Arial" w:hAnsi="Arial" w:cs="Arial"/>
          <w:b/>
          <w:bCs/>
          <w:sz w:val="24"/>
          <w:szCs w:val="24"/>
        </w:rPr>
        <w:t>Strombezugskosten</w:t>
      </w:r>
      <w:r w:rsidRPr="00EB6721">
        <w:rPr>
          <w:rFonts w:ascii="Arial" w:hAnsi="Arial" w:cs="Arial"/>
          <w:sz w:val="24"/>
          <w:szCs w:val="24"/>
        </w:rPr>
        <w:t xml:space="preserve"> der dominante Faktor bei der Herstellung von grünem Wasserstoff. Entscheidend sind nicht nur die Erzeugungskosten erneuerbaren Stroms, sondern auch Marktpreise und regulatorische Anforderungen wie </w:t>
      </w:r>
      <w:proofErr w:type="spellStart"/>
      <w:r w:rsidRPr="00EB6721">
        <w:rPr>
          <w:rFonts w:ascii="Arial" w:hAnsi="Arial" w:cs="Arial"/>
          <w:sz w:val="24"/>
          <w:szCs w:val="24"/>
        </w:rPr>
        <w:t>Zusätzlichkeit</w:t>
      </w:r>
      <w:proofErr w:type="spellEnd"/>
      <w:r w:rsidRPr="00EB6721">
        <w:rPr>
          <w:rFonts w:ascii="Arial" w:hAnsi="Arial" w:cs="Arial"/>
          <w:sz w:val="24"/>
          <w:szCs w:val="24"/>
        </w:rPr>
        <w:t xml:space="preserve">, Zeitgleichheit und regionale Zuordnung. Die Nutzung von Überschussstrom </w:t>
      </w:r>
      <w:r>
        <w:rPr>
          <w:rFonts w:ascii="Arial" w:hAnsi="Arial" w:cs="Arial"/>
          <w:sz w:val="24"/>
          <w:szCs w:val="24"/>
        </w:rPr>
        <w:t xml:space="preserve">(z.B. aus Windenergie) </w:t>
      </w:r>
      <w:r w:rsidRPr="00EB6721">
        <w:rPr>
          <w:rFonts w:ascii="Arial" w:hAnsi="Arial" w:cs="Arial"/>
          <w:sz w:val="24"/>
          <w:szCs w:val="24"/>
        </w:rPr>
        <w:t xml:space="preserve">ist </w:t>
      </w:r>
      <w:r>
        <w:rPr>
          <w:rFonts w:ascii="Arial" w:hAnsi="Arial" w:cs="Arial"/>
          <w:sz w:val="24"/>
          <w:szCs w:val="24"/>
        </w:rPr>
        <w:t>für Oberberg in den kommenden 10 Jahren voraussichtlich nicht möglich</w:t>
      </w:r>
      <w:r w:rsidRPr="00EB6721">
        <w:rPr>
          <w:rFonts w:ascii="Arial" w:hAnsi="Arial" w:cs="Arial"/>
          <w:sz w:val="24"/>
          <w:szCs w:val="24"/>
        </w:rPr>
        <w:t xml:space="preserve"> und begrenzt die Volllaststunden erheblich.⁶</w:t>
      </w:r>
    </w:p>
    <w:p w14:paraId="23F4930A"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Unter Berücksichtigung aller Kosten ergeben sich realistische Wasserstoffgestehungskosten von rund </w:t>
      </w:r>
      <w:r w:rsidRPr="00EB6721">
        <w:rPr>
          <w:rFonts w:ascii="Arial" w:hAnsi="Arial" w:cs="Arial"/>
          <w:b/>
          <w:bCs/>
          <w:sz w:val="24"/>
          <w:szCs w:val="24"/>
        </w:rPr>
        <w:t>9,80 €/kg im Jahr 2025</w:t>
      </w:r>
      <w:r w:rsidRPr="00EB6721">
        <w:rPr>
          <w:rFonts w:ascii="Arial" w:hAnsi="Arial" w:cs="Arial"/>
          <w:sz w:val="24"/>
          <w:szCs w:val="24"/>
        </w:rPr>
        <w:t xml:space="preserve"> und etwa </w:t>
      </w:r>
      <w:r w:rsidRPr="00EB6721">
        <w:rPr>
          <w:rFonts w:ascii="Arial" w:hAnsi="Arial" w:cs="Arial"/>
          <w:b/>
          <w:bCs/>
          <w:sz w:val="24"/>
          <w:szCs w:val="24"/>
        </w:rPr>
        <w:t>7,40 €/kg im Jahr 2040</w:t>
      </w:r>
      <w:r w:rsidRPr="00EB6721">
        <w:rPr>
          <w:rFonts w:ascii="Arial" w:hAnsi="Arial" w:cs="Arial"/>
          <w:sz w:val="24"/>
          <w:szCs w:val="24"/>
        </w:rPr>
        <w:t>. Etwa die Hälfte dieser Kosten entfällt auf den Strombezug.⁷</w:t>
      </w:r>
    </w:p>
    <w:p w14:paraId="78B9AFFC" w14:textId="77777777" w:rsidR="00EB6721" w:rsidRPr="00EB6721" w:rsidRDefault="00EB6721" w:rsidP="00EB6721">
      <w:pPr>
        <w:rPr>
          <w:rFonts w:ascii="Arial" w:hAnsi="Arial" w:cs="Arial"/>
          <w:sz w:val="24"/>
          <w:szCs w:val="24"/>
        </w:rPr>
      </w:pPr>
      <w:r w:rsidRPr="00EB6721">
        <w:rPr>
          <w:rFonts w:ascii="Arial" w:hAnsi="Arial" w:cs="Arial"/>
          <w:sz w:val="24"/>
          <w:szCs w:val="24"/>
        </w:rPr>
        <w:lastRenderedPageBreak/>
        <w:pict w14:anchorId="3981E4D7">
          <v:rect id="_x0000_i1070" style="width:0;height:1.5pt" o:hralign="center" o:hrstd="t" o:hr="t" fillcolor="#a0a0a0" stroked="f"/>
        </w:pict>
      </w:r>
    </w:p>
    <w:p w14:paraId="06A15016"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4. Wettbewerbsfähigkeit und politische Risiken</w:t>
      </w:r>
    </w:p>
    <w:p w14:paraId="758A0114"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4.1 Grüner Wasserstoff bleibt mittelfristig teuer</w:t>
      </w:r>
    </w:p>
    <w:p w14:paraId="4A585919"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Die Studie </w:t>
      </w:r>
      <w:r w:rsidRPr="00EB6721">
        <w:rPr>
          <w:rFonts w:ascii="Arial" w:hAnsi="Arial" w:cs="Arial"/>
          <w:b/>
          <w:bCs/>
          <w:sz w:val="24"/>
          <w:szCs w:val="24"/>
        </w:rPr>
        <w:t xml:space="preserve">„H2 Reality Check – </w:t>
      </w:r>
      <w:proofErr w:type="spellStart"/>
      <w:r w:rsidRPr="00EB6721">
        <w:rPr>
          <w:rFonts w:ascii="Arial" w:hAnsi="Arial" w:cs="Arial"/>
          <w:b/>
          <w:bCs/>
          <w:sz w:val="24"/>
          <w:szCs w:val="24"/>
        </w:rPr>
        <w:t>Reappraising</w:t>
      </w:r>
      <w:proofErr w:type="spellEnd"/>
      <w:r w:rsidRPr="00EB6721">
        <w:rPr>
          <w:rFonts w:ascii="Arial" w:hAnsi="Arial" w:cs="Arial"/>
          <w:b/>
          <w:bCs/>
          <w:sz w:val="24"/>
          <w:szCs w:val="24"/>
        </w:rPr>
        <w:t xml:space="preserve"> </w:t>
      </w:r>
      <w:proofErr w:type="spellStart"/>
      <w:r w:rsidRPr="00EB6721">
        <w:rPr>
          <w:rFonts w:ascii="Arial" w:hAnsi="Arial" w:cs="Arial"/>
          <w:b/>
          <w:bCs/>
          <w:sz w:val="24"/>
          <w:szCs w:val="24"/>
        </w:rPr>
        <w:t>the</w:t>
      </w:r>
      <w:proofErr w:type="spellEnd"/>
      <w:r w:rsidRPr="00EB6721">
        <w:rPr>
          <w:rFonts w:ascii="Arial" w:hAnsi="Arial" w:cs="Arial"/>
          <w:b/>
          <w:bCs/>
          <w:sz w:val="24"/>
          <w:szCs w:val="24"/>
        </w:rPr>
        <w:t xml:space="preserve"> </w:t>
      </w:r>
      <w:proofErr w:type="spellStart"/>
      <w:r w:rsidRPr="00EB6721">
        <w:rPr>
          <w:rFonts w:ascii="Arial" w:hAnsi="Arial" w:cs="Arial"/>
          <w:b/>
          <w:bCs/>
          <w:sz w:val="24"/>
          <w:szCs w:val="24"/>
        </w:rPr>
        <w:t>EU’s</w:t>
      </w:r>
      <w:proofErr w:type="spellEnd"/>
      <w:r w:rsidRPr="00EB6721">
        <w:rPr>
          <w:rFonts w:ascii="Arial" w:hAnsi="Arial" w:cs="Arial"/>
          <w:b/>
          <w:bCs/>
          <w:sz w:val="24"/>
          <w:szCs w:val="24"/>
        </w:rPr>
        <w:t xml:space="preserve"> H2 </w:t>
      </w:r>
      <w:proofErr w:type="spellStart"/>
      <w:r w:rsidRPr="00EB6721">
        <w:rPr>
          <w:rFonts w:ascii="Arial" w:hAnsi="Arial" w:cs="Arial"/>
          <w:b/>
          <w:bCs/>
          <w:sz w:val="24"/>
          <w:szCs w:val="24"/>
        </w:rPr>
        <w:t>Strategy</w:t>
      </w:r>
      <w:proofErr w:type="spellEnd"/>
      <w:r w:rsidRPr="00EB6721">
        <w:rPr>
          <w:rFonts w:ascii="Arial" w:hAnsi="Arial" w:cs="Arial"/>
          <w:b/>
          <w:bCs/>
          <w:sz w:val="24"/>
          <w:szCs w:val="24"/>
        </w:rPr>
        <w:t xml:space="preserve"> in a New </w:t>
      </w:r>
      <w:proofErr w:type="spellStart"/>
      <w:r w:rsidRPr="00EB6721">
        <w:rPr>
          <w:rFonts w:ascii="Arial" w:hAnsi="Arial" w:cs="Arial"/>
          <w:b/>
          <w:bCs/>
          <w:sz w:val="24"/>
          <w:szCs w:val="24"/>
        </w:rPr>
        <w:t>Era</w:t>
      </w:r>
      <w:proofErr w:type="spellEnd"/>
      <w:r w:rsidRPr="00EB6721">
        <w:rPr>
          <w:rFonts w:ascii="Arial" w:hAnsi="Arial" w:cs="Arial"/>
          <w:b/>
          <w:bCs/>
          <w:sz w:val="24"/>
          <w:szCs w:val="24"/>
        </w:rPr>
        <w:t xml:space="preserve"> </w:t>
      </w:r>
      <w:proofErr w:type="spellStart"/>
      <w:r w:rsidRPr="00EB6721">
        <w:rPr>
          <w:rFonts w:ascii="Arial" w:hAnsi="Arial" w:cs="Arial"/>
          <w:b/>
          <w:bCs/>
          <w:sz w:val="24"/>
          <w:szCs w:val="24"/>
        </w:rPr>
        <w:t>of</w:t>
      </w:r>
      <w:proofErr w:type="spellEnd"/>
      <w:r w:rsidRPr="00EB6721">
        <w:rPr>
          <w:rFonts w:ascii="Arial" w:hAnsi="Arial" w:cs="Arial"/>
          <w:b/>
          <w:bCs/>
          <w:sz w:val="24"/>
          <w:szCs w:val="24"/>
        </w:rPr>
        <w:t xml:space="preserve"> </w:t>
      </w:r>
      <w:proofErr w:type="spellStart"/>
      <w:r w:rsidRPr="00EB6721">
        <w:rPr>
          <w:rFonts w:ascii="Arial" w:hAnsi="Arial" w:cs="Arial"/>
          <w:b/>
          <w:bCs/>
          <w:sz w:val="24"/>
          <w:szCs w:val="24"/>
        </w:rPr>
        <w:t>Geopolitical</w:t>
      </w:r>
      <w:proofErr w:type="spellEnd"/>
      <w:r w:rsidRPr="00EB6721">
        <w:rPr>
          <w:rFonts w:ascii="Arial" w:hAnsi="Arial" w:cs="Arial"/>
          <w:b/>
          <w:bCs/>
          <w:sz w:val="24"/>
          <w:szCs w:val="24"/>
        </w:rPr>
        <w:t xml:space="preserve"> </w:t>
      </w:r>
      <w:proofErr w:type="spellStart"/>
      <w:r w:rsidRPr="00EB6721">
        <w:rPr>
          <w:rFonts w:ascii="Arial" w:hAnsi="Arial" w:cs="Arial"/>
          <w:b/>
          <w:bCs/>
          <w:sz w:val="24"/>
          <w:szCs w:val="24"/>
        </w:rPr>
        <w:t>Disruptions</w:t>
      </w:r>
      <w:proofErr w:type="spellEnd"/>
      <w:r w:rsidRPr="00EB6721">
        <w:rPr>
          <w:rFonts w:ascii="Arial" w:hAnsi="Arial" w:cs="Arial"/>
          <w:b/>
          <w:bCs/>
          <w:sz w:val="24"/>
          <w:szCs w:val="24"/>
        </w:rPr>
        <w:t>“</w:t>
      </w:r>
      <w:r w:rsidRPr="00EB6721">
        <w:rPr>
          <w:rFonts w:ascii="Arial" w:hAnsi="Arial" w:cs="Arial"/>
          <w:sz w:val="24"/>
          <w:szCs w:val="24"/>
        </w:rPr>
        <w:t xml:space="preserve"> (</w:t>
      </w:r>
      <w:proofErr w:type="spellStart"/>
      <w:r w:rsidRPr="00EB6721">
        <w:rPr>
          <w:rFonts w:ascii="Arial" w:hAnsi="Arial" w:cs="Arial"/>
          <w:sz w:val="24"/>
          <w:szCs w:val="24"/>
        </w:rPr>
        <w:t>ZfK</w:t>
      </w:r>
      <w:proofErr w:type="spellEnd"/>
      <w:r w:rsidRPr="00EB6721">
        <w:rPr>
          <w:rFonts w:ascii="Arial" w:hAnsi="Arial" w:cs="Arial"/>
          <w:sz w:val="24"/>
          <w:szCs w:val="24"/>
        </w:rPr>
        <w:t xml:space="preserve">, </w:t>
      </w:r>
      <w:r w:rsidRPr="00EB6721">
        <w:rPr>
          <w:rFonts w:ascii="Arial" w:hAnsi="Arial" w:cs="Arial"/>
          <w:b/>
          <w:bCs/>
          <w:sz w:val="24"/>
          <w:szCs w:val="24"/>
        </w:rPr>
        <w:t>03.04.2025</w:t>
      </w:r>
      <w:r w:rsidRPr="00EB6721">
        <w:rPr>
          <w:rFonts w:ascii="Arial" w:hAnsi="Arial" w:cs="Arial"/>
          <w:sz w:val="24"/>
          <w:szCs w:val="24"/>
        </w:rPr>
        <w:t xml:space="preserve">) kommt zu dem Ergebnis, dass grüner Wasserstoff bis 2030 voraussichtlich </w:t>
      </w:r>
      <w:r w:rsidRPr="00EB6721">
        <w:rPr>
          <w:rFonts w:ascii="Arial" w:hAnsi="Arial" w:cs="Arial"/>
          <w:b/>
          <w:bCs/>
          <w:sz w:val="24"/>
          <w:szCs w:val="24"/>
        </w:rPr>
        <w:t>nicht wettbewerbsfähig gegenüber blauem Wasserstoff</w:t>
      </w:r>
      <w:r w:rsidRPr="00EB6721">
        <w:rPr>
          <w:rFonts w:ascii="Arial" w:hAnsi="Arial" w:cs="Arial"/>
          <w:sz w:val="24"/>
          <w:szCs w:val="24"/>
        </w:rPr>
        <w:t xml:space="preserve"> sein wird. Ursachen sind unter anderem steigende Material</w:t>
      </w:r>
      <w:r w:rsidRPr="00EB6721">
        <w:rPr>
          <w:rFonts w:ascii="Arial" w:hAnsi="Arial" w:cs="Arial"/>
          <w:sz w:val="24"/>
          <w:szCs w:val="24"/>
        </w:rPr>
        <w:noBreakHyphen/>
        <w:t xml:space="preserve"> und Arbeitskosten, verzögerter Infrastrukturausbau sowie der schnelle Fortschritt alternativer Elektrifizierungstechnologien.⁸</w:t>
      </w:r>
    </w:p>
    <w:p w14:paraId="3A5EDF3C" w14:textId="77777777" w:rsidR="00EB6721" w:rsidRPr="00EB6721" w:rsidRDefault="00EB6721" w:rsidP="00EB6721">
      <w:pPr>
        <w:rPr>
          <w:rFonts w:ascii="Arial" w:hAnsi="Arial" w:cs="Arial"/>
          <w:sz w:val="24"/>
          <w:szCs w:val="24"/>
        </w:rPr>
      </w:pPr>
      <w:r w:rsidRPr="00EB6721">
        <w:rPr>
          <w:rFonts w:ascii="Arial" w:hAnsi="Arial" w:cs="Arial"/>
          <w:sz w:val="24"/>
          <w:szCs w:val="24"/>
        </w:rPr>
        <w:t>Für viele industrielle Abnehmer übersteigen die erwarteten Wasserstoffpreise auch mittelfristig die Zahlungsbereitschaft, da zusätzlich zu den Produktionskosten weitere Systemkosten, Netzentgelte, Abgaben und Steuern anfallen.⁹</w:t>
      </w:r>
    </w:p>
    <w:p w14:paraId="64A6E1C1"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4.2 Geopolitische Dimension</w:t>
      </w:r>
    </w:p>
    <w:p w14:paraId="712F8499" w14:textId="77777777" w:rsidR="00EB6721" w:rsidRPr="00EB6721" w:rsidRDefault="00EB6721" w:rsidP="00EB6721">
      <w:pPr>
        <w:rPr>
          <w:rFonts w:ascii="Arial" w:hAnsi="Arial" w:cs="Arial"/>
          <w:sz w:val="24"/>
          <w:szCs w:val="24"/>
        </w:rPr>
      </w:pPr>
      <w:r w:rsidRPr="00EB6721">
        <w:rPr>
          <w:rFonts w:ascii="Arial" w:hAnsi="Arial" w:cs="Arial"/>
          <w:sz w:val="24"/>
          <w:szCs w:val="24"/>
        </w:rPr>
        <w:t xml:space="preserve">Neben wirtschaftlichen Aspekten weist die Studie auf erhebliche </w:t>
      </w:r>
      <w:r w:rsidRPr="00EB6721">
        <w:rPr>
          <w:rFonts w:ascii="Arial" w:hAnsi="Arial" w:cs="Arial"/>
          <w:b/>
          <w:bCs/>
          <w:sz w:val="24"/>
          <w:szCs w:val="24"/>
        </w:rPr>
        <w:t>geopolitische Risiken</w:t>
      </w:r>
      <w:r w:rsidRPr="00EB6721">
        <w:rPr>
          <w:rFonts w:ascii="Arial" w:hAnsi="Arial" w:cs="Arial"/>
          <w:sz w:val="24"/>
          <w:szCs w:val="24"/>
        </w:rPr>
        <w:t xml:space="preserve"> hin. Der Aufbau großskaliger Elektrolysekapazitäten erhöht die Abhängigkeit von strategischen Mineralien und von Lieferketten, die vielfach von China dominiert werden. Gleichzeitig würde eine stärkere Nutzung von blauem Wasserstoff bestehende Abhängigkeiten von Erdgas</w:t>
      </w:r>
      <w:r w:rsidRPr="00EB6721">
        <w:rPr>
          <w:rFonts w:ascii="Arial" w:hAnsi="Arial" w:cs="Arial"/>
          <w:sz w:val="24"/>
          <w:szCs w:val="24"/>
        </w:rPr>
        <w:noBreakHyphen/>
        <w:t xml:space="preserve"> und LNG</w:t>
      </w:r>
      <w:r w:rsidRPr="00EB6721">
        <w:rPr>
          <w:rFonts w:ascii="Arial" w:hAnsi="Arial" w:cs="Arial"/>
          <w:sz w:val="24"/>
          <w:szCs w:val="24"/>
        </w:rPr>
        <w:noBreakHyphen/>
        <w:t xml:space="preserve">Importen fortschreiben. Die Autoren empfehlen daher ein </w:t>
      </w:r>
      <w:r w:rsidRPr="00EB6721">
        <w:rPr>
          <w:rFonts w:ascii="Arial" w:hAnsi="Arial" w:cs="Arial"/>
          <w:b/>
          <w:bCs/>
          <w:sz w:val="24"/>
          <w:szCs w:val="24"/>
        </w:rPr>
        <w:t>pragmatisches, ganzheitliches Gesamtkonzept</w:t>
      </w:r>
      <w:r w:rsidRPr="00EB6721">
        <w:rPr>
          <w:rFonts w:ascii="Arial" w:hAnsi="Arial" w:cs="Arial"/>
          <w:sz w:val="24"/>
          <w:szCs w:val="24"/>
        </w:rPr>
        <w:t>, das Klimaziele, Versorgungssicherheit und industrielle Wertschöpfung in Einklang bringt.¹⁰</w:t>
      </w:r>
    </w:p>
    <w:p w14:paraId="46FED978"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4734D35D">
          <v:rect id="_x0000_i1071" style="width:0;height:1.5pt" o:hralign="center" o:hrstd="t" o:hr="t" fillcolor="#a0a0a0" stroked="f"/>
        </w:pict>
      </w:r>
    </w:p>
    <w:p w14:paraId="39E99C0C"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5. Aktuelle Preisentwicklung und Ausblick</w:t>
      </w:r>
    </w:p>
    <w:p w14:paraId="7020E604" w14:textId="430E81FB" w:rsidR="00EB6721" w:rsidRPr="00EB6721" w:rsidRDefault="00EB6721" w:rsidP="00EB6721">
      <w:pPr>
        <w:rPr>
          <w:rFonts w:ascii="Arial" w:hAnsi="Arial" w:cs="Arial"/>
          <w:sz w:val="24"/>
          <w:szCs w:val="24"/>
        </w:rPr>
      </w:pPr>
      <w:r w:rsidRPr="00EB6721">
        <w:rPr>
          <w:rFonts w:ascii="Arial" w:hAnsi="Arial" w:cs="Arial"/>
          <w:sz w:val="24"/>
          <w:szCs w:val="24"/>
        </w:rPr>
        <w:t xml:space="preserve">Ein Fachartikel aus </w:t>
      </w:r>
      <w:r w:rsidRPr="00EB6721">
        <w:rPr>
          <w:rFonts w:ascii="Arial" w:hAnsi="Arial" w:cs="Arial"/>
          <w:b/>
          <w:bCs/>
          <w:sz w:val="24"/>
          <w:szCs w:val="24"/>
        </w:rPr>
        <w:t>CHEMIE TECHNIK vom 27.01.2026</w:t>
      </w:r>
      <w:r w:rsidRPr="00EB6721">
        <w:rPr>
          <w:rFonts w:ascii="Arial" w:hAnsi="Arial" w:cs="Arial"/>
          <w:sz w:val="24"/>
          <w:szCs w:val="24"/>
        </w:rPr>
        <w:t xml:space="preserve"> zeigt die derzeitige Preissituation: Grauer Wasserstoff kostet etwa </w:t>
      </w:r>
      <w:r w:rsidRPr="00EB6721">
        <w:rPr>
          <w:rFonts w:ascii="Arial" w:hAnsi="Arial" w:cs="Arial"/>
          <w:b/>
          <w:bCs/>
          <w:sz w:val="24"/>
          <w:szCs w:val="24"/>
        </w:rPr>
        <w:t>3,33 €/kg</w:t>
      </w:r>
      <w:r w:rsidRPr="00EB6721">
        <w:rPr>
          <w:rFonts w:ascii="Arial" w:hAnsi="Arial" w:cs="Arial"/>
          <w:sz w:val="24"/>
          <w:szCs w:val="24"/>
        </w:rPr>
        <w:t xml:space="preserve">, blauer rund </w:t>
      </w:r>
      <w:r w:rsidRPr="00EB6721">
        <w:rPr>
          <w:rFonts w:ascii="Arial" w:hAnsi="Arial" w:cs="Arial"/>
          <w:b/>
          <w:bCs/>
          <w:sz w:val="24"/>
          <w:szCs w:val="24"/>
        </w:rPr>
        <w:t>4,12 €/kg</w:t>
      </w:r>
      <w:r w:rsidRPr="00EB6721">
        <w:rPr>
          <w:rFonts w:ascii="Arial" w:hAnsi="Arial" w:cs="Arial"/>
          <w:sz w:val="24"/>
          <w:szCs w:val="24"/>
        </w:rPr>
        <w:t xml:space="preserve">, während grüner Wasserstoff im europäischen Durchschnitt bei </w:t>
      </w:r>
      <w:r w:rsidRPr="00EB6721">
        <w:rPr>
          <w:rFonts w:ascii="Arial" w:hAnsi="Arial" w:cs="Arial"/>
          <w:b/>
          <w:bCs/>
          <w:sz w:val="24"/>
          <w:szCs w:val="24"/>
        </w:rPr>
        <w:t>6,7–7,4 €/kg</w:t>
      </w:r>
      <w:r w:rsidRPr="00EB6721">
        <w:rPr>
          <w:rFonts w:ascii="Arial" w:hAnsi="Arial" w:cs="Arial"/>
          <w:sz w:val="24"/>
          <w:szCs w:val="24"/>
        </w:rPr>
        <w:t xml:space="preserve"> liegt. Endkundenpreise an Wasserstofftankstellen erreichen häufig </w:t>
      </w:r>
      <w:r w:rsidRPr="00EB6721">
        <w:rPr>
          <w:rFonts w:ascii="Arial" w:hAnsi="Arial" w:cs="Arial"/>
          <w:b/>
          <w:bCs/>
          <w:sz w:val="24"/>
          <w:szCs w:val="24"/>
        </w:rPr>
        <w:t>15–20 €/kg</w:t>
      </w:r>
      <w:r w:rsidRPr="00EB6721">
        <w:rPr>
          <w:rFonts w:ascii="Arial" w:hAnsi="Arial" w:cs="Arial"/>
          <w:sz w:val="24"/>
          <w:szCs w:val="24"/>
        </w:rPr>
        <w:t>.</w:t>
      </w:r>
      <w:r>
        <w:rPr>
          <w:rFonts w:ascii="Arial" w:hAnsi="Arial" w:cs="Arial"/>
          <w:sz w:val="24"/>
          <w:szCs w:val="24"/>
        </w:rPr>
        <w:t xml:space="preserve"> Die Bezugskosten der </w:t>
      </w:r>
      <w:r w:rsidRPr="00EB6721">
        <w:rPr>
          <w:rFonts w:ascii="Arial" w:hAnsi="Arial" w:cs="Arial"/>
          <w:b/>
          <w:bCs/>
          <w:sz w:val="24"/>
          <w:szCs w:val="24"/>
        </w:rPr>
        <w:t>OVAG</w:t>
      </w:r>
      <w:r>
        <w:rPr>
          <w:rFonts w:ascii="Arial" w:hAnsi="Arial" w:cs="Arial"/>
          <w:sz w:val="24"/>
          <w:szCs w:val="24"/>
        </w:rPr>
        <w:t xml:space="preserve"> liegen derzeit knapp unter </w:t>
      </w:r>
      <w:r w:rsidRPr="00EB6721">
        <w:rPr>
          <w:rFonts w:ascii="Arial" w:hAnsi="Arial" w:cs="Arial"/>
          <w:b/>
          <w:bCs/>
          <w:sz w:val="24"/>
          <w:szCs w:val="24"/>
        </w:rPr>
        <w:t>10 €/kg</w:t>
      </w:r>
      <w:r>
        <w:rPr>
          <w:rFonts w:ascii="Arial" w:hAnsi="Arial" w:cs="Arial"/>
          <w:sz w:val="24"/>
          <w:szCs w:val="24"/>
        </w:rPr>
        <w:t>.</w:t>
      </w:r>
      <w:r w:rsidRPr="00EB6721">
        <w:rPr>
          <w:rFonts w:ascii="Arial" w:hAnsi="Arial" w:cs="Arial"/>
          <w:sz w:val="24"/>
          <w:szCs w:val="24"/>
        </w:rPr>
        <w:t>¹¹</w:t>
      </w:r>
      <w:r w:rsidRPr="00EB6721">
        <w:rPr>
          <w:rFonts w:ascii="Arial" w:hAnsi="Arial" w:cs="Arial"/>
          <w:sz w:val="24"/>
          <w:szCs w:val="24"/>
        </w:rPr>
        <w:t xml:space="preserve"> </w:t>
      </w:r>
      <w:r>
        <w:rPr>
          <w:rFonts w:ascii="Arial" w:hAnsi="Arial" w:cs="Arial"/>
          <w:sz w:val="24"/>
          <w:szCs w:val="24"/>
        </w:rPr>
        <w:br/>
      </w:r>
      <w:r w:rsidRPr="00EB6721">
        <w:rPr>
          <w:rFonts w:ascii="Arial" w:hAnsi="Arial" w:cs="Arial"/>
          <w:sz w:val="24"/>
          <w:szCs w:val="24"/>
        </w:rPr>
        <w:t>Langfristig könnte die Wettbewerbsfähigkeit von grünem Wasserstoff durch steigende CO</w:t>
      </w:r>
      <w:r w:rsidRPr="00EB6721">
        <w:rPr>
          <w:rFonts w:ascii="Cambria Math" w:hAnsi="Cambria Math" w:cs="Cambria Math"/>
          <w:sz w:val="24"/>
          <w:szCs w:val="24"/>
        </w:rPr>
        <w:t>₂</w:t>
      </w:r>
      <w:r w:rsidRPr="00EB6721">
        <w:rPr>
          <w:rFonts w:ascii="Arial" w:hAnsi="Arial" w:cs="Arial"/>
          <w:sz w:val="24"/>
          <w:szCs w:val="24"/>
        </w:rPr>
        <w:noBreakHyphen/>
        <w:t xml:space="preserve">Preise und strengere Umweltauflagen verbessert werden. Optimistische Erwartungen von </w:t>
      </w:r>
      <w:r w:rsidRPr="00EB6721">
        <w:rPr>
          <w:rFonts w:ascii="Arial" w:hAnsi="Arial" w:cs="Arial"/>
          <w:b/>
          <w:bCs/>
          <w:sz w:val="24"/>
          <w:szCs w:val="24"/>
        </w:rPr>
        <w:t>2–2,5 €/kg bis 2030</w:t>
      </w:r>
      <w:r w:rsidRPr="00EB6721">
        <w:rPr>
          <w:rFonts w:ascii="Arial" w:hAnsi="Arial" w:cs="Arial"/>
          <w:sz w:val="24"/>
          <w:szCs w:val="24"/>
        </w:rPr>
        <w:t xml:space="preserve"> gelten inzwischen als unrealistisch. </w:t>
      </w:r>
      <w:r>
        <w:rPr>
          <w:rFonts w:ascii="Arial" w:hAnsi="Arial" w:cs="Arial"/>
          <w:sz w:val="24"/>
          <w:szCs w:val="24"/>
        </w:rPr>
        <w:t>Wenig r</w:t>
      </w:r>
      <w:r w:rsidRPr="00EB6721">
        <w:rPr>
          <w:rFonts w:ascii="Arial" w:hAnsi="Arial" w:cs="Arial"/>
          <w:sz w:val="24"/>
          <w:szCs w:val="24"/>
        </w:rPr>
        <w:t>ealistisch erschein</w:t>
      </w:r>
      <w:r w:rsidR="00213B15">
        <w:rPr>
          <w:rFonts w:ascii="Arial" w:hAnsi="Arial" w:cs="Arial"/>
          <w:sz w:val="24"/>
          <w:szCs w:val="24"/>
        </w:rPr>
        <w:t>t</w:t>
      </w:r>
      <w:r>
        <w:rPr>
          <w:rFonts w:ascii="Arial" w:hAnsi="Arial" w:cs="Arial"/>
          <w:sz w:val="24"/>
          <w:szCs w:val="24"/>
        </w:rPr>
        <w:t xml:space="preserve"> vor dem </w:t>
      </w:r>
      <w:r w:rsidR="00213B15">
        <w:rPr>
          <w:rFonts w:ascii="Arial" w:hAnsi="Arial" w:cs="Arial"/>
          <w:sz w:val="24"/>
          <w:szCs w:val="24"/>
        </w:rPr>
        <w:t>aktuellen energiepolitischen Hintergrund</w:t>
      </w:r>
      <w:r w:rsidRPr="00EB6721">
        <w:rPr>
          <w:rFonts w:ascii="Arial" w:hAnsi="Arial" w:cs="Arial"/>
          <w:sz w:val="24"/>
          <w:szCs w:val="24"/>
        </w:rPr>
        <w:t xml:space="preserve"> </w:t>
      </w:r>
      <w:r w:rsidR="00213B15" w:rsidRPr="00213B15">
        <w:rPr>
          <w:rFonts w:ascii="Arial" w:hAnsi="Arial" w:cs="Arial"/>
          <w:sz w:val="24"/>
          <w:szCs w:val="24"/>
        </w:rPr>
        <w:t xml:space="preserve">auch ein </w:t>
      </w:r>
      <w:r w:rsidR="00213B15">
        <w:rPr>
          <w:rFonts w:ascii="Arial" w:hAnsi="Arial" w:cs="Arial"/>
          <w:b/>
          <w:bCs/>
          <w:sz w:val="24"/>
          <w:szCs w:val="24"/>
        </w:rPr>
        <w:t>Ziel von</w:t>
      </w:r>
      <w:r w:rsidRPr="00EB6721">
        <w:rPr>
          <w:rFonts w:ascii="Arial" w:hAnsi="Arial" w:cs="Arial"/>
          <w:b/>
          <w:bCs/>
          <w:sz w:val="24"/>
          <w:szCs w:val="24"/>
        </w:rPr>
        <w:t xml:space="preserve"> 3 €/kg bis 2030</w:t>
      </w:r>
      <w:r w:rsidRPr="00EB6721">
        <w:rPr>
          <w:rFonts w:ascii="Arial" w:hAnsi="Arial" w:cs="Arial"/>
          <w:sz w:val="24"/>
          <w:szCs w:val="24"/>
        </w:rPr>
        <w:t xml:space="preserve">, wobei die sogenannte </w:t>
      </w:r>
      <w:r w:rsidRPr="00EB6721">
        <w:rPr>
          <w:rFonts w:ascii="Arial" w:hAnsi="Arial" w:cs="Arial"/>
          <w:b/>
          <w:bCs/>
          <w:sz w:val="24"/>
          <w:szCs w:val="24"/>
        </w:rPr>
        <w:t>2</w:t>
      </w:r>
      <w:r w:rsidRPr="00EB6721">
        <w:rPr>
          <w:rFonts w:ascii="Arial" w:hAnsi="Arial" w:cs="Arial"/>
          <w:b/>
          <w:bCs/>
          <w:sz w:val="24"/>
          <w:szCs w:val="24"/>
        </w:rPr>
        <w:noBreakHyphen/>
        <w:t>Euro</w:t>
      </w:r>
      <w:r w:rsidRPr="00EB6721">
        <w:rPr>
          <w:rFonts w:ascii="Arial" w:hAnsi="Arial" w:cs="Arial"/>
          <w:b/>
          <w:bCs/>
          <w:sz w:val="24"/>
          <w:szCs w:val="24"/>
        </w:rPr>
        <w:noBreakHyphen/>
        <w:t>Marke</w:t>
      </w:r>
      <w:r w:rsidRPr="00EB6721">
        <w:rPr>
          <w:rFonts w:ascii="Arial" w:hAnsi="Arial" w:cs="Arial"/>
          <w:sz w:val="24"/>
          <w:szCs w:val="24"/>
        </w:rPr>
        <w:t xml:space="preserve"> in Europa voraussichtlich erst um 2050 erreicht wird.¹²</w:t>
      </w:r>
    </w:p>
    <w:p w14:paraId="392520D6"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509D66A8">
          <v:rect id="_x0000_i1072" style="width:0;height:1.5pt" o:hralign="center" o:hrstd="t" o:hr="t" fillcolor="#a0a0a0" stroked="f"/>
        </w:pict>
      </w:r>
    </w:p>
    <w:p w14:paraId="0A33D099" w14:textId="77777777" w:rsidR="008B72CA" w:rsidRDefault="008B72CA" w:rsidP="00EB6721">
      <w:pPr>
        <w:rPr>
          <w:rFonts w:ascii="Arial" w:hAnsi="Arial" w:cs="Arial"/>
          <w:b/>
          <w:bCs/>
          <w:sz w:val="24"/>
          <w:szCs w:val="24"/>
        </w:rPr>
      </w:pPr>
    </w:p>
    <w:p w14:paraId="36D3DF37" w14:textId="77777777" w:rsidR="008B72CA" w:rsidRDefault="008B72CA" w:rsidP="00EB6721">
      <w:pPr>
        <w:rPr>
          <w:rFonts w:ascii="Arial" w:hAnsi="Arial" w:cs="Arial"/>
          <w:b/>
          <w:bCs/>
          <w:sz w:val="24"/>
          <w:szCs w:val="24"/>
        </w:rPr>
      </w:pPr>
    </w:p>
    <w:p w14:paraId="60699578" w14:textId="00D642F8" w:rsidR="00EB6721" w:rsidRPr="00EB6721" w:rsidRDefault="00EB6721" w:rsidP="00EB6721">
      <w:pPr>
        <w:rPr>
          <w:rFonts w:ascii="Arial" w:hAnsi="Arial" w:cs="Arial"/>
          <w:b/>
          <w:bCs/>
          <w:sz w:val="24"/>
          <w:szCs w:val="24"/>
        </w:rPr>
      </w:pPr>
      <w:r w:rsidRPr="00EB6721">
        <w:rPr>
          <w:rFonts w:ascii="Arial" w:hAnsi="Arial" w:cs="Arial"/>
          <w:b/>
          <w:bCs/>
          <w:sz w:val="24"/>
          <w:szCs w:val="24"/>
        </w:rPr>
        <w:lastRenderedPageBreak/>
        <w:t>6. Fazit für Kommunen und den Oberbergischen Kreis</w:t>
      </w:r>
    </w:p>
    <w:p w14:paraId="4D9813BB" w14:textId="231730E0" w:rsidR="00EB6721" w:rsidRPr="00EB6721" w:rsidRDefault="00EB6721" w:rsidP="00EB6721">
      <w:pPr>
        <w:rPr>
          <w:rFonts w:ascii="Arial" w:hAnsi="Arial" w:cs="Arial"/>
          <w:sz w:val="24"/>
          <w:szCs w:val="24"/>
        </w:rPr>
      </w:pPr>
      <w:r w:rsidRPr="00EB6721">
        <w:rPr>
          <w:rFonts w:ascii="Arial" w:hAnsi="Arial" w:cs="Arial"/>
          <w:sz w:val="24"/>
          <w:szCs w:val="24"/>
        </w:rPr>
        <w:t xml:space="preserve">Für kommunale und regionale Akteure ergibt sich ein differenziertes Bild: Grüner Wasserstoff ist technisch verfügbar und langfristig relevant, bleibt jedoch </w:t>
      </w:r>
      <w:r w:rsidRPr="00EB6721">
        <w:rPr>
          <w:rFonts w:ascii="Arial" w:hAnsi="Arial" w:cs="Arial"/>
          <w:b/>
          <w:bCs/>
          <w:sz w:val="24"/>
          <w:szCs w:val="24"/>
        </w:rPr>
        <w:t>mittelfristig teuer und stark förderabhängig</w:t>
      </w:r>
      <w:r w:rsidRPr="00EB6721">
        <w:rPr>
          <w:rFonts w:ascii="Arial" w:hAnsi="Arial" w:cs="Arial"/>
          <w:sz w:val="24"/>
          <w:szCs w:val="24"/>
        </w:rPr>
        <w:t>. Wirtschaftlich sinnvoll erscheint er vor allem dort, wo Elektrifizierung nicht möglich ist oder wo industrielle Abnehmer langfristige Abnahme sichern können.</w:t>
      </w:r>
      <w:r w:rsidR="00213B15">
        <w:rPr>
          <w:rFonts w:ascii="Arial" w:hAnsi="Arial" w:cs="Arial"/>
          <w:sz w:val="24"/>
          <w:szCs w:val="24"/>
        </w:rPr>
        <w:t xml:space="preserve"> Im </w:t>
      </w:r>
      <w:r w:rsidR="00213B15" w:rsidRPr="00EB6721">
        <w:rPr>
          <w:rFonts w:ascii="Arial" w:hAnsi="Arial" w:cs="Arial"/>
          <w:sz w:val="24"/>
          <w:szCs w:val="24"/>
        </w:rPr>
        <w:t>direkte</w:t>
      </w:r>
      <w:r w:rsidR="00213B15">
        <w:rPr>
          <w:rFonts w:ascii="Arial" w:hAnsi="Arial" w:cs="Arial"/>
          <w:sz w:val="24"/>
          <w:szCs w:val="24"/>
        </w:rPr>
        <w:t>n Vergleich ist die Elektrifizierung von Industrieprozessen und Antrieben der Wasserstoffnutzung immer überlegen.</w:t>
      </w:r>
    </w:p>
    <w:p w14:paraId="5E39BF6E" w14:textId="4705AC6F" w:rsidR="00EB6721" w:rsidRPr="00EB6721" w:rsidRDefault="00EB6721" w:rsidP="00EB6721">
      <w:pPr>
        <w:rPr>
          <w:rFonts w:ascii="Arial" w:hAnsi="Arial" w:cs="Arial"/>
          <w:sz w:val="24"/>
          <w:szCs w:val="24"/>
        </w:rPr>
      </w:pPr>
      <w:r w:rsidRPr="00EB6721">
        <w:rPr>
          <w:rFonts w:ascii="Arial" w:hAnsi="Arial" w:cs="Arial"/>
          <w:sz w:val="24"/>
          <w:szCs w:val="24"/>
        </w:rPr>
        <w:t xml:space="preserve">Für Regionen wie den Oberbergischen Kreis bedeutet dies, Wasserstoff </w:t>
      </w:r>
      <w:r w:rsidRPr="00EB6721">
        <w:rPr>
          <w:rFonts w:ascii="Arial" w:hAnsi="Arial" w:cs="Arial"/>
          <w:b/>
          <w:bCs/>
          <w:sz w:val="24"/>
          <w:szCs w:val="24"/>
        </w:rPr>
        <w:t>gezielt, pragmatisch und eingebettet in regionale Energie</w:t>
      </w:r>
      <w:r w:rsidRPr="00EB6721">
        <w:rPr>
          <w:rFonts w:ascii="Arial" w:hAnsi="Arial" w:cs="Arial"/>
          <w:b/>
          <w:bCs/>
          <w:sz w:val="24"/>
          <w:szCs w:val="24"/>
        </w:rPr>
        <w:noBreakHyphen/>
        <w:t xml:space="preserve"> und Industriepolitik</w:t>
      </w:r>
      <w:r w:rsidRPr="00EB6721">
        <w:rPr>
          <w:rFonts w:ascii="Arial" w:hAnsi="Arial" w:cs="Arial"/>
          <w:sz w:val="24"/>
          <w:szCs w:val="24"/>
        </w:rPr>
        <w:t xml:space="preserve"> zu betrachten – als strategische Option, nicht als flächendeckende Lösung.</w:t>
      </w:r>
      <w:r w:rsidR="00213B15">
        <w:rPr>
          <w:rFonts w:ascii="Arial" w:hAnsi="Arial" w:cs="Arial"/>
          <w:sz w:val="24"/>
          <w:szCs w:val="24"/>
        </w:rPr>
        <w:t xml:space="preserve"> Dabei ist eine notwendige Voraussetzung die lokale Erzeugung aus Überschussstrom von Wind- oder Fotovoltaikanlagen. Eine Anbindung Oberbergs an das Wasserstoffkernnetz ist </w:t>
      </w:r>
      <w:r w:rsidR="008B72CA">
        <w:rPr>
          <w:rFonts w:ascii="Arial" w:hAnsi="Arial" w:cs="Arial"/>
          <w:sz w:val="24"/>
          <w:szCs w:val="24"/>
        </w:rPr>
        <w:t xml:space="preserve">in absehbarer Zeit nicht zu erwarten. </w:t>
      </w:r>
      <w:r w:rsidR="00213B15">
        <w:rPr>
          <w:rFonts w:ascii="Arial" w:hAnsi="Arial" w:cs="Arial"/>
          <w:sz w:val="24"/>
          <w:szCs w:val="24"/>
        </w:rPr>
        <w:t xml:space="preserve"> </w:t>
      </w:r>
    </w:p>
    <w:p w14:paraId="6871B846" w14:textId="77777777" w:rsidR="00EB6721" w:rsidRPr="00EB6721" w:rsidRDefault="00EB6721" w:rsidP="00EB6721">
      <w:pPr>
        <w:rPr>
          <w:rFonts w:ascii="Arial" w:hAnsi="Arial" w:cs="Arial"/>
          <w:sz w:val="24"/>
          <w:szCs w:val="24"/>
        </w:rPr>
      </w:pPr>
      <w:r w:rsidRPr="00EB6721">
        <w:rPr>
          <w:rFonts w:ascii="Arial" w:hAnsi="Arial" w:cs="Arial"/>
          <w:sz w:val="24"/>
          <w:szCs w:val="24"/>
        </w:rPr>
        <w:pict w14:anchorId="41782CFF">
          <v:rect id="_x0000_i1073" style="width:0;height:1.5pt" o:hralign="center" o:hrstd="t" o:hr="t" fillcolor="#a0a0a0" stroked="f"/>
        </w:pict>
      </w:r>
    </w:p>
    <w:p w14:paraId="6DB7430C" w14:textId="77777777" w:rsidR="00EB6721" w:rsidRPr="00EB6721" w:rsidRDefault="00EB6721" w:rsidP="00EB6721">
      <w:pPr>
        <w:rPr>
          <w:rFonts w:ascii="Arial" w:hAnsi="Arial" w:cs="Arial"/>
          <w:b/>
          <w:bCs/>
          <w:sz w:val="24"/>
          <w:szCs w:val="24"/>
        </w:rPr>
      </w:pPr>
      <w:r w:rsidRPr="00EB6721">
        <w:rPr>
          <w:rFonts w:ascii="Arial" w:hAnsi="Arial" w:cs="Arial"/>
          <w:b/>
          <w:bCs/>
          <w:sz w:val="24"/>
          <w:szCs w:val="24"/>
        </w:rPr>
        <w:t>Quellenverzeichnis</w:t>
      </w:r>
    </w:p>
    <w:p w14:paraId="2A941999"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 xml:space="preserve">Fraunhofer ISE: </w:t>
      </w:r>
      <w:r w:rsidRPr="00EB6721">
        <w:rPr>
          <w:rFonts w:ascii="Arial" w:hAnsi="Arial" w:cs="Arial"/>
          <w:i/>
          <w:iCs/>
          <w:sz w:val="24"/>
          <w:szCs w:val="24"/>
        </w:rPr>
        <w:t>Kostenanalyse für Wasserelektrolyse</w:t>
      </w:r>
      <w:r w:rsidRPr="00EB6721">
        <w:rPr>
          <w:rFonts w:ascii="Arial" w:hAnsi="Arial" w:cs="Arial"/>
          <w:i/>
          <w:iCs/>
          <w:sz w:val="24"/>
          <w:szCs w:val="24"/>
        </w:rPr>
        <w:noBreakHyphen/>
        <w:t>Systeme</w:t>
      </w:r>
      <w:r w:rsidRPr="00EB6721">
        <w:rPr>
          <w:rFonts w:ascii="Arial" w:hAnsi="Arial" w:cs="Arial"/>
          <w:sz w:val="24"/>
          <w:szCs w:val="24"/>
        </w:rPr>
        <w:t>, 2021.</w:t>
      </w:r>
    </w:p>
    <w:p w14:paraId="0EA6CE56"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Fraunhofer ISE, ebenda.</w:t>
      </w:r>
    </w:p>
    <w:p w14:paraId="30468539"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Fraunhofer ISE, ebenda.</w:t>
      </w:r>
    </w:p>
    <w:p w14:paraId="1C71963B"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 xml:space="preserve">BWE / Mission Wasserstoff 2030: </w:t>
      </w:r>
      <w:r w:rsidRPr="00EB6721">
        <w:rPr>
          <w:rFonts w:ascii="Arial" w:hAnsi="Arial" w:cs="Arial"/>
          <w:i/>
          <w:iCs/>
          <w:sz w:val="24"/>
          <w:szCs w:val="24"/>
        </w:rPr>
        <w:t>Zwischen Prognose und Praxis: Wie sich Wasserstoffpreise zusammensetzen</w:t>
      </w:r>
      <w:r w:rsidRPr="00EB6721">
        <w:rPr>
          <w:rFonts w:ascii="Arial" w:hAnsi="Arial" w:cs="Arial"/>
          <w:sz w:val="24"/>
          <w:szCs w:val="24"/>
        </w:rPr>
        <w:t>, 20.08.2025, aktualisiert 08.09.2025.</w:t>
      </w:r>
    </w:p>
    <w:p w14:paraId="4C9D0397"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BWE / Mission Wasserstoff 2030, ebenda.</w:t>
      </w:r>
    </w:p>
    <w:p w14:paraId="3E9F8D80"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BWE / Mission Wasserstoff 2030, ebenda.</w:t>
      </w:r>
    </w:p>
    <w:p w14:paraId="0A043295"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BWE / Mission Wasserstoff 2030, ebenda.</w:t>
      </w:r>
    </w:p>
    <w:p w14:paraId="5E1531C1" w14:textId="77777777" w:rsidR="00EB6721" w:rsidRPr="00EB6721" w:rsidRDefault="00EB6721" w:rsidP="00EB6721">
      <w:pPr>
        <w:numPr>
          <w:ilvl w:val="0"/>
          <w:numId w:val="2"/>
        </w:numPr>
        <w:rPr>
          <w:rFonts w:ascii="Arial" w:hAnsi="Arial" w:cs="Arial"/>
          <w:sz w:val="24"/>
          <w:szCs w:val="24"/>
          <w:lang w:val="en-US"/>
        </w:rPr>
      </w:pPr>
      <w:proofErr w:type="spellStart"/>
      <w:r w:rsidRPr="00EB6721">
        <w:rPr>
          <w:rFonts w:ascii="Arial" w:hAnsi="Arial" w:cs="Arial"/>
          <w:sz w:val="24"/>
          <w:szCs w:val="24"/>
          <w:lang w:val="en-US"/>
        </w:rPr>
        <w:t>ZfK</w:t>
      </w:r>
      <w:proofErr w:type="spellEnd"/>
      <w:r w:rsidRPr="00EB6721">
        <w:rPr>
          <w:rFonts w:ascii="Arial" w:hAnsi="Arial" w:cs="Arial"/>
          <w:sz w:val="24"/>
          <w:szCs w:val="24"/>
          <w:lang w:val="en-US"/>
        </w:rPr>
        <w:t xml:space="preserve">: </w:t>
      </w:r>
      <w:r w:rsidRPr="00EB6721">
        <w:rPr>
          <w:rFonts w:ascii="Arial" w:hAnsi="Arial" w:cs="Arial"/>
          <w:i/>
          <w:iCs/>
          <w:sz w:val="24"/>
          <w:szCs w:val="24"/>
          <w:lang w:val="en-US"/>
        </w:rPr>
        <w:t>H2 Reality Check – Reappraising the EU’s H2 Strategy</w:t>
      </w:r>
      <w:r w:rsidRPr="00EB6721">
        <w:rPr>
          <w:rFonts w:ascii="Arial" w:hAnsi="Arial" w:cs="Arial"/>
          <w:sz w:val="24"/>
          <w:szCs w:val="24"/>
          <w:lang w:val="en-US"/>
        </w:rPr>
        <w:t>, 03.04.2025.</w:t>
      </w:r>
    </w:p>
    <w:p w14:paraId="6E2298B8" w14:textId="77777777" w:rsidR="00EB6721" w:rsidRPr="00EB6721" w:rsidRDefault="00EB6721" w:rsidP="00EB6721">
      <w:pPr>
        <w:numPr>
          <w:ilvl w:val="0"/>
          <w:numId w:val="2"/>
        </w:numPr>
        <w:rPr>
          <w:rFonts w:ascii="Arial" w:hAnsi="Arial" w:cs="Arial"/>
          <w:sz w:val="24"/>
          <w:szCs w:val="24"/>
        </w:rPr>
      </w:pPr>
      <w:proofErr w:type="spellStart"/>
      <w:r w:rsidRPr="00EB6721">
        <w:rPr>
          <w:rFonts w:ascii="Arial" w:hAnsi="Arial" w:cs="Arial"/>
          <w:sz w:val="24"/>
          <w:szCs w:val="24"/>
        </w:rPr>
        <w:t>ZfK</w:t>
      </w:r>
      <w:proofErr w:type="spellEnd"/>
      <w:r w:rsidRPr="00EB6721">
        <w:rPr>
          <w:rFonts w:ascii="Arial" w:hAnsi="Arial" w:cs="Arial"/>
          <w:sz w:val="24"/>
          <w:szCs w:val="24"/>
        </w:rPr>
        <w:t>, ebenda.</w:t>
      </w:r>
    </w:p>
    <w:p w14:paraId="4049C25B" w14:textId="77777777" w:rsidR="00EB6721" w:rsidRPr="00EB6721" w:rsidRDefault="00EB6721" w:rsidP="00EB6721">
      <w:pPr>
        <w:numPr>
          <w:ilvl w:val="0"/>
          <w:numId w:val="2"/>
        </w:numPr>
        <w:rPr>
          <w:rFonts w:ascii="Arial" w:hAnsi="Arial" w:cs="Arial"/>
          <w:sz w:val="24"/>
          <w:szCs w:val="24"/>
        </w:rPr>
      </w:pPr>
      <w:proofErr w:type="spellStart"/>
      <w:r w:rsidRPr="00EB6721">
        <w:rPr>
          <w:rFonts w:ascii="Arial" w:hAnsi="Arial" w:cs="Arial"/>
          <w:sz w:val="24"/>
          <w:szCs w:val="24"/>
        </w:rPr>
        <w:t>ZfK</w:t>
      </w:r>
      <w:proofErr w:type="spellEnd"/>
      <w:r w:rsidRPr="00EB6721">
        <w:rPr>
          <w:rFonts w:ascii="Arial" w:hAnsi="Arial" w:cs="Arial"/>
          <w:sz w:val="24"/>
          <w:szCs w:val="24"/>
        </w:rPr>
        <w:t>, ebenda.</w:t>
      </w:r>
    </w:p>
    <w:p w14:paraId="68B1EC1B"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 xml:space="preserve">CHEMIE TECHNIK: </w:t>
      </w:r>
      <w:r w:rsidRPr="00EB6721">
        <w:rPr>
          <w:rFonts w:ascii="Arial" w:hAnsi="Arial" w:cs="Arial"/>
          <w:i/>
          <w:iCs/>
          <w:sz w:val="24"/>
          <w:szCs w:val="24"/>
        </w:rPr>
        <w:t>Preisentwicklung von Wasserstoff</w:t>
      </w:r>
      <w:r w:rsidRPr="00EB6721">
        <w:rPr>
          <w:rFonts w:ascii="Arial" w:hAnsi="Arial" w:cs="Arial"/>
          <w:sz w:val="24"/>
          <w:szCs w:val="24"/>
        </w:rPr>
        <w:t>, 27.01.2026.</w:t>
      </w:r>
    </w:p>
    <w:p w14:paraId="0CBBB9DA" w14:textId="77777777" w:rsidR="00EB6721" w:rsidRPr="00EB6721" w:rsidRDefault="00EB6721" w:rsidP="00EB6721">
      <w:pPr>
        <w:numPr>
          <w:ilvl w:val="0"/>
          <w:numId w:val="2"/>
        </w:numPr>
        <w:rPr>
          <w:rFonts w:ascii="Arial" w:hAnsi="Arial" w:cs="Arial"/>
          <w:sz w:val="24"/>
          <w:szCs w:val="24"/>
        </w:rPr>
      </w:pPr>
      <w:r w:rsidRPr="00EB6721">
        <w:rPr>
          <w:rFonts w:ascii="Arial" w:hAnsi="Arial" w:cs="Arial"/>
          <w:sz w:val="24"/>
          <w:szCs w:val="24"/>
        </w:rPr>
        <w:t>CHEMIE TECHNIK, ebenda.</w:t>
      </w:r>
    </w:p>
    <w:p w14:paraId="238951F6" w14:textId="77777777" w:rsidR="006F7CCA" w:rsidRDefault="006F7CCA"/>
    <w:sectPr w:rsidR="00A765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01D87"/>
    <w:multiLevelType w:val="multilevel"/>
    <w:tmpl w:val="01DA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718A4"/>
    <w:multiLevelType w:val="multilevel"/>
    <w:tmpl w:val="105C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363697">
    <w:abstractNumId w:val="1"/>
  </w:num>
  <w:num w:numId="2" w16cid:durableId="80231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6721"/>
    <w:rsid w:val="001714AB"/>
    <w:rsid w:val="00213B15"/>
    <w:rsid w:val="003652C8"/>
    <w:rsid w:val="005812F3"/>
    <w:rsid w:val="008B72CA"/>
    <w:rsid w:val="00954B17"/>
    <w:rsid w:val="009B2517"/>
    <w:rsid w:val="00B90C09"/>
    <w:rsid w:val="00B91C3D"/>
    <w:rsid w:val="00C82C61"/>
    <w:rsid w:val="00D6497D"/>
    <w:rsid w:val="00DB7A22"/>
    <w:rsid w:val="00DE6401"/>
    <w:rsid w:val="00EB6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ADAA"/>
  <w15:chartTrackingRefBased/>
  <w15:docId w15:val="{EC10A226-DE49-46C3-B734-6AA8AEB4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67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B67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B672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B672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B672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B67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67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67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67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672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B672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B672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B672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B672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B67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67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67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6721"/>
    <w:rPr>
      <w:rFonts w:eastAsiaTheme="majorEastAsia" w:cstheme="majorBidi"/>
      <w:color w:val="272727" w:themeColor="text1" w:themeTint="D8"/>
    </w:rPr>
  </w:style>
  <w:style w:type="paragraph" w:styleId="Titel">
    <w:name w:val="Title"/>
    <w:basedOn w:val="Standard"/>
    <w:next w:val="Standard"/>
    <w:link w:val="TitelZchn"/>
    <w:uiPriority w:val="10"/>
    <w:qFormat/>
    <w:rsid w:val="00EB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67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672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67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672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B6721"/>
    <w:rPr>
      <w:i/>
      <w:iCs/>
      <w:color w:val="404040" w:themeColor="text1" w:themeTint="BF"/>
    </w:rPr>
  </w:style>
  <w:style w:type="paragraph" w:styleId="Listenabsatz">
    <w:name w:val="List Paragraph"/>
    <w:basedOn w:val="Standard"/>
    <w:uiPriority w:val="34"/>
    <w:qFormat/>
    <w:rsid w:val="00EB6721"/>
    <w:pPr>
      <w:ind w:left="720"/>
      <w:contextualSpacing/>
    </w:pPr>
  </w:style>
  <w:style w:type="character" w:styleId="IntensiveHervorhebung">
    <w:name w:val="Intense Emphasis"/>
    <w:basedOn w:val="Absatz-Standardschriftart"/>
    <w:uiPriority w:val="21"/>
    <w:qFormat/>
    <w:rsid w:val="00EB6721"/>
    <w:rPr>
      <w:i/>
      <w:iCs/>
      <w:color w:val="365F91" w:themeColor="accent1" w:themeShade="BF"/>
    </w:rPr>
  </w:style>
  <w:style w:type="paragraph" w:styleId="IntensivesZitat">
    <w:name w:val="Intense Quote"/>
    <w:basedOn w:val="Standard"/>
    <w:next w:val="Standard"/>
    <w:link w:val="IntensivesZitatZchn"/>
    <w:uiPriority w:val="30"/>
    <w:qFormat/>
    <w:rsid w:val="00EB67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B6721"/>
    <w:rPr>
      <w:i/>
      <w:iCs/>
      <w:color w:val="365F91" w:themeColor="accent1" w:themeShade="BF"/>
    </w:rPr>
  </w:style>
  <w:style w:type="character" w:styleId="IntensiverVerweis">
    <w:name w:val="Intense Reference"/>
    <w:basedOn w:val="Absatz-Standardschriftart"/>
    <w:uiPriority w:val="32"/>
    <w:qFormat/>
    <w:rsid w:val="00EB672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7104</Characters>
  <Application>Microsoft Office Word</Application>
  <DocSecurity>0</DocSecurity>
  <Lines>112</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Schäfer</dc:creator>
  <cp:keywords/>
  <dc:description/>
  <cp:lastModifiedBy>Seb Schäfer</cp:lastModifiedBy>
  <cp:revision>1</cp:revision>
  <dcterms:created xsi:type="dcterms:W3CDTF">2026-04-16T11:00:00Z</dcterms:created>
  <dcterms:modified xsi:type="dcterms:W3CDTF">2026-04-16T13:13:00Z</dcterms:modified>
</cp:coreProperties>
</file>